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540" w:lineRule="exact"/>
        <w:ind w:left="1" w:firstLine="2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矿业大学工程训练综合能力竞赛（2020-2021）</w:t>
      </w:r>
    </w:p>
    <w:p>
      <w:pPr>
        <w:spacing w:line="540" w:lineRule="exact"/>
        <w:ind w:left="1" w:firstLine="2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虚拟仿真赛道“企业运营仿真”和“工程场景数字化”命题及运行</w:t>
      </w:r>
    </w:p>
    <w:p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、企业运营仿真赛项</w:t>
      </w:r>
    </w:p>
    <w:p>
      <w:pPr>
        <w:tabs>
          <w:tab w:val="left" w:pos="1080"/>
        </w:tabs>
        <w:spacing w:line="30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1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竞赛目的</w:t>
      </w:r>
    </w:p>
    <w:p>
      <w:pPr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赛项重点围绕“产教融合”、“商工结合”、“数字经济”等主题内容展开，落实新工科建设与跨学科综合能力培养。推进信息技术与实验教学的深度融合，促进学科交叉融合，加强实验教学质量和实践育人水平，实现教学资源共享，全面提升大学生的实践动手能力、创新能力、创业能力，提高人才培养质量。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竞赛，推进虚拟仿真实验教学在创新创业教育中的落地应用。参赛队员在模拟经营实践中，培养其创新精神，创业能力，提升学生在复杂条件下如何做出科学决策的能力，学会如何在困境中生存发展的企业家精神，形成如何建立团队、组织团队实现目标的能力。通过竞赛，全面提高学生发现问题、解决问题、综合分析问题能力；锻炼学生沟通协作、交流应变能力；对学生逻辑思维、开拓创新等综合能力都有一定的锻炼和提升。</w:t>
      </w:r>
    </w:p>
    <w:p>
      <w:pPr>
        <w:tabs>
          <w:tab w:val="left" w:pos="1080"/>
        </w:tabs>
        <w:spacing w:line="30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0" w:name="_Toc3434"/>
      <w:r>
        <w:rPr>
          <w:rFonts w:hint="eastAsia" w:ascii="微软雅黑" w:hAnsi="微软雅黑" w:eastAsia="微软雅黑"/>
          <w:b/>
          <w:bCs/>
          <w:sz w:val="28"/>
          <w:szCs w:val="28"/>
        </w:rPr>
        <w:t>2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参赛对象</w:t>
      </w:r>
      <w:bookmarkEnd w:id="0"/>
    </w:p>
    <w:p>
      <w:pPr>
        <w:keepNext/>
        <w:keepLines/>
        <w:spacing w:before="120" w:after="12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普通高等教育本科院校正式注册的全日制在校学生。</w:t>
      </w:r>
    </w:p>
    <w:p>
      <w:pPr>
        <w:tabs>
          <w:tab w:val="left" w:pos="1080"/>
        </w:tabs>
        <w:spacing w:line="30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1" w:name="_Toc3552"/>
      <w:r>
        <w:rPr>
          <w:rFonts w:hint="eastAsia" w:ascii="微软雅黑" w:hAnsi="微软雅黑" w:eastAsia="微软雅黑"/>
          <w:b/>
          <w:bCs/>
          <w:sz w:val="28"/>
          <w:szCs w:val="28"/>
        </w:rPr>
        <w:t>3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竞赛内容</w:t>
      </w:r>
      <w:bookmarkEnd w:id="1"/>
    </w:p>
    <w:p>
      <w:pPr>
        <w:spacing w:line="520" w:lineRule="exact"/>
        <w:ind w:firstLine="565" w:firstLineChars="20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队员组建经营团队，每个团队分设总经理、财务总监、生产总监、营销总监4个岗位，需要创建一家生产制造型企业，模拟该企业两年八个季度的经营过程。涉及公司创建、材料采购、生产运营、市场营销、财务管理等相关企业经营活动。在企业运营过程中，竞赛团队应充分考虑企业的外部环境和企业内部运营状况，结合竞争对手情况，制定科学合理的企业运营策略，规避企业运营风险，实现企业利润最大化。</w:t>
      </w:r>
    </w:p>
    <w:p>
      <w:pPr>
        <w:tabs>
          <w:tab w:val="left" w:pos="1080"/>
        </w:tabs>
        <w:spacing w:line="30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2" w:name="_Toc23792"/>
      <w:r>
        <w:rPr>
          <w:rFonts w:hint="eastAsia" w:ascii="微软雅黑" w:hAnsi="微软雅黑" w:eastAsia="微软雅黑"/>
          <w:b/>
          <w:bCs/>
          <w:sz w:val="28"/>
          <w:szCs w:val="28"/>
        </w:rPr>
        <w:t>4.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竞赛形式</w:t>
      </w:r>
      <w:bookmarkEnd w:id="2"/>
    </w:p>
    <w:p>
      <w:pPr>
        <w:pStyle w:val="2"/>
        <w:spacing w:before="200" w:after="200" w:line="480" w:lineRule="exact"/>
        <w:ind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所有参赛队以抽签方式被均分为若干个赛场，每一赛场在同一环境下进行模拟操作，按小组成绩排名晋级名次，前两名进入省赛。</w:t>
      </w:r>
    </w:p>
    <w:p>
      <w:pPr>
        <w:tabs>
          <w:tab w:val="left" w:pos="1080"/>
        </w:tabs>
        <w:spacing w:line="30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3" w:name="_Toc24838"/>
      <w:r>
        <w:rPr>
          <w:rFonts w:hint="eastAsia" w:ascii="微软雅黑" w:hAnsi="微软雅黑" w:eastAsia="微软雅黑"/>
          <w:b/>
          <w:bCs/>
          <w:sz w:val="28"/>
          <w:szCs w:val="28"/>
        </w:rPr>
        <w:t>5.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技术规范</w:t>
      </w:r>
      <w:bookmarkEnd w:id="3"/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4" w:name="_Toc1495820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竞赛以现行的财经法律、法规和财政部、国家税务总局、人民银行、国家质监局等出台的会计、税务、金融法规、制度和规范性文件为依据。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竞赛内容参照“《普通高等学校本科专业类教学质量国家标准》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中经济管理类专业的“专业标准”、“课程标准”为基本范围和基本要求。</w:t>
      </w:r>
    </w:p>
    <w:p>
      <w:pPr>
        <w:tabs>
          <w:tab w:val="left" w:pos="1080"/>
        </w:tabs>
        <w:spacing w:line="300" w:lineRule="auto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bookmarkStart w:id="5" w:name="_Toc5222"/>
      <w:r>
        <w:rPr>
          <w:rFonts w:hint="eastAsia" w:ascii="微软雅黑" w:hAnsi="微软雅黑" w:eastAsia="微软雅黑"/>
          <w:b/>
          <w:bCs/>
          <w:sz w:val="28"/>
          <w:szCs w:val="28"/>
        </w:rPr>
        <w:t>6.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成绩评定</w:t>
      </w:r>
      <w:bookmarkEnd w:id="5"/>
    </w:p>
    <w:p>
      <w:pPr>
        <w:tabs>
          <w:tab w:val="left" w:pos="1620"/>
        </w:tabs>
        <w:spacing w:before="156" w:beforeLines="50"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bookmarkStart w:id="6" w:name="_Toc12956"/>
      <w:r>
        <w:rPr>
          <w:rFonts w:hint="eastAsia" w:ascii="宋体" w:hAnsi="宋体"/>
          <w:b/>
          <w:bCs/>
          <w:sz w:val="24"/>
          <w:lang w:val="en-US" w:eastAsia="zh-CN"/>
        </w:rPr>
        <w:t>6.1评分原则、方法</w:t>
      </w:r>
      <w:bookmarkEnd w:id="6"/>
    </w:p>
    <w:p>
      <w:pPr>
        <w:ind w:firstLine="420" w:firstLineChars="15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竞赛评分遵循“公平、公正、公开”、“自愿参加”的原则。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每个季度末系统根据运营规则自动评分，</w:t>
      </w:r>
      <w:r>
        <w:rPr>
          <w:rFonts w:hint="eastAsia" w:ascii="仿宋_GB2312" w:hAnsi="仿宋_GB2312" w:eastAsia="仿宋_GB2312" w:cs="仿宋_GB2312"/>
          <w:sz w:val="28"/>
          <w:szCs w:val="28"/>
        </w:rPr>
        <w:t>无人为因素干扰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并实时列出各参赛队伍的运营状况，八个季度运营结束，各赛场成绩按照评分标准自动评分排名。</w:t>
      </w:r>
    </w:p>
    <w:p>
      <w:pPr>
        <w:tabs>
          <w:tab w:val="left" w:pos="1620"/>
        </w:tabs>
        <w:spacing w:before="156" w:beforeLines="50"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bookmarkStart w:id="7" w:name="_Toc31851"/>
      <w:r>
        <w:rPr>
          <w:rFonts w:hint="eastAsia" w:ascii="宋体" w:hAnsi="宋体"/>
          <w:b/>
          <w:bCs/>
          <w:sz w:val="24"/>
          <w:lang w:val="en-US" w:eastAsia="zh-CN"/>
        </w:rPr>
        <w:t>6.2评分标准</w:t>
      </w:r>
      <w:bookmarkEnd w:id="7"/>
    </w:p>
    <w:p>
      <w:pPr>
        <w:keepNext/>
        <w:keepLines/>
        <w:spacing w:before="120" w:after="120"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企业运营仿真赛项排名以企业经营绩效得分高低衡量，评分标准包括4个一级指标和8个二级指标，具体评价标准见表1。</w:t>
      </w:r>
    </w:p>
    <w:p>
      <w:pPr>
        <w:jc w:val="center"/>
        <w:rPr>
          <w:rFonts w:hint="eastAsia" w:ascii="宋体"/>
          <w:b w:val="0"/>
          <w:bCs/>
          <w:color w:val="000000"/>
          <w:sz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</w:rPr>
        <w:t>表1 企业运营仿真赛项评价标准</w:t>
      </w:r>
    </w:p>
    <w:tbl>
      <w:tblPr>
        <w:tblStyle w:val="3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229"/>
        <w:gridCol w:w="2357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89" w:hRule="atLeast"/>
          <w:jc w:val="center"/>
        </w:trPr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8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（满分值）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（满分值）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38" w:hRule="atLeast"/>
          <w:jc w:val="center"/>
        </w:trPr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盈利能力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（80分）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NPV值（净现值）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（80分）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szCs w:val="21"/>
                  </w:rPr>
                  <m:t xml:space="preserve">  NPV值=</m:t>
                </m:r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/>
                        <w:color w:val="000000"/>
                        <w:szCs w:val="21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szCs w:val="21"/>
                      </w:rPr>
                      <m:t>i=1</m:t>
                    </m:r>
                    <m:ctrlPr>
                      <w:rPr>
                        <w:rFonts w:hint="default" w:ascii="Cambria Math" w:hAnsi="Cambria Math"/>
                        <w:color w:val="000000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szCs w:val="21"/>
                      </w:rPr>
                      <m:t>n</m:t>
                    </m:r>
                    <m:ctrlPr>
                      <w:rPr>
                        <w:rFonts w:hint="default" w:ascii="Cambria Math" w:hAnsi="Cambria Math"/>
                        <w:color w:val="000000"/>
                        <w:szCs w:val="21"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  <m:t>第i季发放红利</m:t>
                        </m:r>
                        <m:ctrl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  <m:t>(1+p/4)</m:t>
                            </m:r>
                            <m:ctrl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  <m:t>i</m:t>
                            </m:r>
                            <m:ctrl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szCs w:val="21"/>
                      </w:rPr>
                      <m:t>+</m:t>
                    </m:r>
                    <m:f>
                      <m:fPr>
                        <m:ctrl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  <m:t>第n季季末所有者权益</m:t>
                        </m:r>
                        <m:ctrl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  <m:t>(1+p/4)</m:t>
                            </m:r>
                            <m:ctrl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  <m:t>n</m:t>
                            </m:r>
                            <m:ctrlPr>
                              <w:rPr>
                                <w:rFonts w:hint="default" w:ascii="Cambria Math" w:hAnsi="Cambria Math"/>
                                <w:color w:val="00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default" w:ascii="Cambria Math" w:hAnsi="Cambria Math"/>
                            <w:color w:val="000000"/>
                            <w:szCs w:val="21"/>
                          </w:rPr>
                        </m:ctrlPr>
                      </m:den>
                    </m:f>
                    <m:ctrlPr>
                      <w:rPr>
                        <w:rFonts w:hint="default" w:ascii="Cambria Math" w:hAnsi="Cambria Math"/>
                        <w:color w:val="000000"/>
                        <w:szCs w:val="21"/>
                      </w:rPr>
                    </m:ctrlPr>
                  </m:e>
                </m:nary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szCs w:val="21"/>
                  </w:rPr>
                  <m:t>-第0季季初所有者权益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27" w:hRule="atLeast"/>
          <w:jc w:val="center"/>
        </w:trPr>
        <w:tc>
          <w:tcPr>
            <w:tcW w:w="7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偿债能力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资产负债率（5分）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资产负债率=总负债/总资产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76" w:hRule="atLeast"/>
          <w:jc w:val="center"/>
        </w:trPr>
        <w:tc>
          <w:tcPr>
            <w:tcW w:w="71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发展潜力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研发投入（3分）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研发投入效果通过产品质量水平高低来衡量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56" w:hRule="atLeast"/>
          <w:jc w:val="center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营销投入（3分）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营销投入效果通过产品品牌知名度高低来衡量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3" w:hRule="atLeast"/>
          <w:jc w:val="center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市场占有率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（4分）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市场潜力通过企业市场占有率高低来衡量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4" w:hRule="atLeast"/>
          <w:jc w:val="center"/>
        </w:trPr>
        <w:tc>
          <w:tcPr>
            <w:tcW w:w="71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团队表现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（满分5分，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采用扣分制）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采购表现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是否出现原材料紧急采购，每次扣0.2分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pct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生产表现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tabs>
                <w:tab w:val="left" w:pos="1620"/>
              </w:tabs>
              <w:jc w:val="left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计划生产量与实际生产量不符（偏离量大于等于10个）每次扣0.5分。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pct"/>
            <w:vMerge w:val="restart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财务表现</w:t>
            </w:r>
          </w:p>
        </w:tc>
        <w:tc>
          <w:tcPr>
            <w:tcW w:w="2907" w:type="pct"/>
            <w:noWrap w:val="0"/>
            <w:vAlign w:val="center"/>
          </w:tcPr>
          <w:p>
            <w:pPr>
              <w:tabs>
                <w:tab w:val="left" w:pos="1620"/>
              </w:tabs>
              <w:ind w:firstLine="15" w:firstLineChars="7"/>
              <w:jc w:val="left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非正常负债数值（万元）按区间分次扣分如下：（50，100]扣0.05分；（100，200] 扣0.10分；（200，+∞）扣0.15分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77" w:hRule="atLeast"/>
          <w:jc w:val="center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pct"/>
            <w:vMerge w:val="continue"/>
            <w:noWrap w:val="0"/>
            <w:vAlign w:val="center"/>
          </w:tcPr>
          <w:p>
            <w:pPr>
              <w:spacing w:before="93" w:beforeLines="30"/>
              <w:jc w:val="center"/>
              <w:outlineLvl w:val="2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7" w:type="pct"/>
            <w:noWrap w:val="0"/>
            <w:vAlign w:val="center"/>
          </w:tcPr>
          <w:p>
            <w:pPr>
              <w:tabs>
                <w:tab w:val="left" w:pos="1620"/>
              </w:tabs>
              <w:jc w:val="left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借款剩余值（万元）按区间分次扣分如下：（100，200]扣0.05分；（200，300]扣0.10分；（300，+∞）扣0.15分。</w:t>
            </w:r>
          </w:p>
        </w:tc>
      </w:tr>
      <w:bookmarkEnd w:id="8"/>
    </w:tbl>
    <w:p>
      <w:pPr>
        <w:rPr>
          <w:rFonts w:hint="eastAsia"/>
        </w:rPr>
      </w:pPr>
    </w:p>
    <w:p>
      <w:pPr>
        <w:pStyle w:val="6"/>
        <w:spacing w:line="420" w:lineRule="exact"/>
        <w:ind w:left="472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（1）盈利能力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NPV值（净现值）越大，企业盈利能力越强，评分越高。</w:t>
      </w:r>
    </w:p>
    <w:p>
      <w:pPr>
        <w:tabs>
          <w:tab w:val="left" w:pos="1620"/>
        </w:tabs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hint="default" w:ascii="Cambria Math" w:hAnsi="Cambria Math"/>
              <w:color w:val="000000"/>
              <w:szCs w:val="21"/>
            </w:rPr>
            <m:t xml:space="preserve"> NPV值=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/>
                  <w:color w:val="000000"/>
                  <w:szCs w:val="21"/>
                </w:rPr>
              </m:ctrlPr>
            </m:naryPr>
            <m:sub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szCs w:val="21"/>
                </w:rPr>
                <m:t>i=1</m:t>
              </m:r>
              <m:ctrlPr>
                <w:rPr>
                  <w:rFonts w:hint="default" w:ascii="Cambria Math" w:hAnsi="Cambria Math"/>
                  <w:color w:val="000000"/>
                  <w:szCs w:val="21"/>
                </w:rPr>
              </m:ctrlPr>
            </m:sub>
            <m:sup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szCs w:val="21"/>
                </w:rPr>
                <m:t>n</m:t>
              </m:r>
              <m:ctrlPr>
                <w:rPr>
                  <w:rFonts w:hint="default" w:ascii="Cambria Math" w:hAnsi="Cambria Math"/>
                  <w:color w:val="000000"/>
                  <w:szCs w:val="21"/>
                </w:rPr>
              </m:ctrlPr>
            </m:sup>
            <m:e>
              <m:f>
                <m:fPr>
                  <m:ctrlPr>
                    <w:rPr>
                      <w:rFonts w:hint="default" w:ascii="Cambria Math" w:hAnsi="Cambria Math"/>
                      <w:color w:val="000000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/>
                      <w:color w:val="000000"/>
                      <w:szCs w:val="21"/>
                    </w:rPr>
                    <m:t>第i季发放红利</m:t>
                  </m:r>
                  <m:ctrlPr>
                    <w:rPr>
                      <w:rFonts w:hint="default" w:ascii="Cambria Math" w:hAnsi="Cambria Math"/>
                      <w:color w:val="00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  <m:t>(1+p/4)</m:t>
                      </m:r>
                      <m:ctrl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  <m:t>i</m:t>
                      </m:r>
                      <m:ctrl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</m:ctrlPr>
                    </m:sup>
                  </m:sSup>
                  <m:ctrlPr>
                    <w:rPr>
                      <w:rFonts w:hint="default" w:ascii="Cambria Math" w:hAnsi="Cambria Math"/>
                      <w:color w:val="000000"/>
                      <w:szCs w:val="21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szCs w:val="21"/>
                </w:rPr>
                <m:t>+</m:t>
              </m:r>
              <m:f>
                <m:fPr>
                  <m:ctrlPr>
                    <w:rPr>
                      <w:rFonts w:hint="default" w:ascii="Cambria Math" w:hAnsi="Cambria Math"/>
                      <w:color w:val="000000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/>
                      <w:color w:val="000000"/>
                      <w:szCs w:val="21"/>
                    </w:rPr>
                    <m:t>第n季季末所有者权益</m:t>
                  </m:r>
                  <m:ctrlPr>
                    <w:rPr>
                      <w:rFonts w:hint="default" w:ascii="Cambria Math" w:hAnsi="Cambria Math"/>
                      <w:color w:val="00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  <m:t>(1+p/4)</m:t>
                      </m:r>
                      <m:ctrl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  <m:t>n</m:t>
                      </m:r>
                      <m:ctrlPr>
                        <w:rPr>
                          <w:rFonts w:hint="default" w:ascii="Cambria Math" w:hAnsi="Cambria Math"/>
                          <w:color w:val="000000"/>
                          <w:szCs w:val="21"/>
                        </w:rPr>
                      </m:ctrlPr>
                    </m:sup>
                  </m:sSup>
                  <m:ctrlPr>
                    <w:rPr>
                      <w:rFonts w:hint="default" w:ascii="Cambria Math" w:hAnsi="Cambria Math"/>
                      <w:color w:val="000000"/>
                      <w:szCs w:val="21"/>
                    </w:rPr>
                  </m:ctrlPr>
                </m:den>
              </m:f>
              <m:ctrlPr>
                <w:rPr>
                  <w:rFonts w:hint="default" w:ascii="Cambria Math" w:hAnsi="Cambria Math"/>
                  <w:color w:val="000000"/>
                  <w:szCs w:val="21"/>
                </w:rPr>
              </m:ctrlPr>
            </m:e>
          </m:nary>
          <m:r>
            <m:rPr>
              <m:sty m:val="p"/>
            </m:rPr>
            <w:rPr>
              <w:rFonts w:hint="default" w:ascii="Cambria Math" w:hAnsi="Cambria Math"/>
              <w:color w:val="000000"/>
              <w:szCs w:val="21"/>
            </w:rPr>
            <m:t>-第0季季初所有者权益</m:t>
          </m:r>
        </m:oMath>
      </m:oMathPara>
    </w:p>
    <w:p>
      <w:pPr>
        <w:tabs>
          <w:tab w:val="left" w:pos="1620"/>
        </w:tabs>
        <w:ind w:firstLine="56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其中，p表示折现率，由组委会根据具体情况设置，n表示经营季度数。</w:t>
      </w:r>
    </w:p>
    <w:p>
      <w:pPr>
        <w:tabs>
          <w:tab w:val="left" w:pos="1620"/>
        </w:tabs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tabs>
          <w:tab w:val="left" w:pos="1620"/>
        </w:tabs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drawing>
          <wp:inline distT="0" distB="0" distL="114300" distR="114300">
            <wp:extent cx="3526790" cy="492125"/>
            <wp:effectExtent l="0" t="0" r="0" b="0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20"/>
        </w:tabs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tabs>
          <w:tab w:val="left" w:pos="1620"/>
        </w:tabs>
        <w:adjustRightInd w:val="0"/>
        <w:snapToGrid w:val="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盈利能力评分=NPV评分</w:t>
      </w:r>
    </w:p>
    <w:p>
      <w:pPr>
        <w:tabs>
          <w:tab w:val="left" w:pos="1620"/>
        </w:tabs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如果该企业第n季末NPV值小于等于0或者第n季末最高NPV值小于等于0，则NPV评分为0，盈利能力评分也为0。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（2）偿债能力</w:t>
      </w:r>
    </w:p>
    <w:p>
      <w:pPr>
        <w:tabs>
          <w:tab w:val="left" w:pos="720"/>
        </w:tabs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偿债能力由资产负债率衡量，资产负债率应该控制在一定的合理区间，具体评分标准见表2。</w:t>
      </w:r>
    </w:p>
    <w:p>
      <w:pPr>
        <w:tabs>
          <w:tab w:val="left" w:pos="720"/>
        </w:tabs>
        <w:spacing w:line="460" w:lineRule="exact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hd w:val="clear" w:color="auto" w:fill="FFFFFF"/>
        </w:rPr>
        <w:t>表2  资产负债率区间得分表</w:t>
      </w:r>
    </w:p>
    <w:tbl>
      <w:tblPr>
        <w:tblStyle w:val="3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07"/>
        <w:gridCol w:w="1296"/>
        <w:gridCol w:w="1296"/>
        <w:gridCol w:w="129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8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资产负债率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[0, 0.6]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(0.6,0.7]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(0.7,0.8]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(0.8,0.9]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(0.9,1]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8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评分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</w:tr>
    </w:tbl>
    <w:p>
      <w:pPr>
        <w:tabs>
          <w:tab w:val="left" w:pos="720"/>
        </w:tabs>
        <w:spacing w:line="46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偿债能力评分=资产负债率评分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（3）发展潜力</w:t>
      </w:r>
    </w:p>
    <w:p>
      <w:pPr>
        <w:tabs>
          <w:tab w:val="left" w:pos="1620"/>
        </w:tabs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发展潜力由研发投入、营销投入和市场占有率三项指标衡量。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研发投入。研发投入效果以产品质量指数衡量，质量指数越高，研发投入效果越好，评分越高。</w:t>
      </w:r>
    </w:p>
    <w:p>
      <w:pPr>
        <w:tabs>
          <w:tab w:val="left" w:pos="1620"/>
        </w:tabs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drawing>
          <wp:inline distT="0" distB="0" distL="114300" distR="114300">
            <wp:extent cx="3716020" cy="456565"/>
            <wp:effectExtent l="0" t="0" r="0" b="635"/>
            <wp:docPr id="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如果该企业第n季末质量指数等于0或者第n季末最高质量指数等于0，则研发投入评分为0。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营销投入。营销投入效果以产品品牌指数来衡量，品牌指数越高，营销投入效果越好，评分越高。</w:t>
      </w:r>
    </w:p>
    <w:p>
      <w:pPr>
        <w:tabs>
          <w:tab w:val="left" w:pos="1620"/>
        </w:tabs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判定企业是否经营某市场的依据：如果某企业在最后3个季度（第6、7、8季度）没有投入任何营销费用，系统判定该企业已经放弃该市场，该市场不计算营销投入评分。  </w:t>
      </w:r>
    </w:p>
    <w:p>
      <w:pPr>
        <w:tabs>
          <w:tab w:val="left" w:pos="1620"/>
        </w:tabs>
        <w:jc w:val="center"/>
        <w:rPr>
          <w:rFonts w:hint="eastAsia"/>
        </w:rPr>
      </w:pPr>
    </w:p>
    <w:p>
      <w:pPr>
        <w:tabs>
          <w:tab w:val="left" w:pos="1620"/>
        </w:tabs>
        <w:jc w:val="center"/>
      </w:pPr>
      <w:r>
        <w:drawing>
          <wp:inline distT="0" distB="0" distL="114300" distR="114300">
            <wp:extent cx="4447540" cy="377190"/>
            <wp:effectExtent l="0" t="0" r="0" b="381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20"/>
        </w:tabs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position w:val="-8"/>
          <w:sz w:val="28"/>
          <w:szCs w:val="28"/>
        </w:rPr>
        <w:object>
          <v:shape id="_x0000_i1025" o:spt="75" type="#_x0000_t75" style="height:16pt;width:32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如果该企业某市场第n季末品牌指数等于0或者某市场第n季末最高</w:t>
      </w:r>
      <w:r>
        <w:rPr>
          <w:rFonts w:hint="eastAsia" w:ascii="仿宋_GB2312" w:hAnsi="仿宋_GB2312" w:eastAsia="仿宋_GB2312" w:cs="仿宋_GB2312"/>
          <w:bCs/>
          <w:position w:val="-10"/>
          <w:sz w:val="28"/>
          <w:szCs w:val="28"/>
        </w:rPr>
        <w:t>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牌指数</w:t>
      </w:r>
      <w:r>
        <w:rPr>
          <w:rFonts w:hint="eastAsia" w:ascii="仿宋_GB2312" w:hAnsi="仿宋_GB2312" w:eastAsia="仿宋_GB2312" w:cs="仿宋_GB2312"/>
          <w:bCs/>
          <w:position w:val="-8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于0，则该企业某市场营销投入评分为0。</w:t>
      </w:r>
    </w:p>
    <w:p>
      <w:pPr>
        <w:tabs>
          <w:tab w:val="left" w:pos="1620"/>
        </w:tabs>
        <w:ind w:firstLine="560" w:firstLineChars="200"/>
        <w:jc w:val="left"/>
      </w:pPr>
      <w:r>
        <w:rPr>
          <w:rFonts w:ascii="仿宋_GB2312" w:hAnsi="仿宋_GB2312" w:eastAsia="仿宋_GB2312" w:cs="仿宋_GB2312"/>
          <w:bCs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市场占有率。市场占有率以该企业第n季末总市场占有率来衡量，市场占有率越高，评分越高。</w:t>
      </w:r>
    </w:p>
    <w:p>
      <w:pPr>
        <w:tabs>
          <w:tab w:val="left" w:pos="1620"/>
        </w:tabs>
        <w:jc w:val="center"/>
        <w:rPr>
          <w:rFonts w:hint="eastAsia"/>
        </w:rPr>
      </w:pPr>
      <w:r>
        <w:rPr>
          <w:rFonts w:hint="eastAsia"/>
          <w:position w:val="-26"/>
        </w:rPr>
        <w:object>
          <v:shape id="_x0000_i1026" o:spt="75" type="#_x0000_t75" style="height:31.85pt;width:333.0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</w:p>
    <w:p>
      <w:pPr>
        <w:tabs>
          <w:tab w:val="left" w:pos="1620"/>
        </w:tabs>
        <w:jc w:val="center"/>
        <w:rPr>
          <w:rFonts w:hint="eastAsia"/>
        </w:rPr>
      </w:pPr>
      <w:r>
        <w:rPr>
          <w:rFonts w:hint="eastAsia"/>
          <w:position w:val="-26"/>
        </w:rPr>
        <w:object>
          <v:shape id="_x0000_i1027" o:spt="75" type="#_x0000_t75" style="height:31.7pt;width:276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如果该企业第n季末市场占有率等于0或者第n季末最高市场占有率等于0，则市场占有率评分为0。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发展潜力评分=研发投入评分+营销投入评分+市场占有率评分。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（4）团队表现</w:t>
      </w:r>
    </w:p>
    <w:p>
      <w:pPr>
        <w:tabs>
          <w:tab w:val="left" w:pos="1620"/>
        </w:tabs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团队表现按采购表现、生产表现、财务表现等相关对应指标，满分为5分，采用扣分制，按实际发生扣分项目和次数进行累计扣减，扣完为止，具体扣分项见表3。</w:t>
      </w:r>
    </w:p>
    <w:p>
      <w:pPr>
        <w:tabs>
          <w:tab w:val="left" w:pos="1620"/>
        </w:tabs>
        <w:ind w:firstLine="480" w:firstLineChars="200"/>
        <w:jc w:val="left"/>
        <w:rPr>
          <w:rFonts w:hint="eastAsia"/>
          <w:color w:val="000000"/>
          <w:sz w:val="24"/>
          <w:shd w:val="clear" w:color="auto" w:fill="FFFFFF"/>
        </w:rPr>
      </w:pPr>
    </w:p>
    <w:p>
      <w:pPr>
        <w:tabs>
          <w:tab w:val="left" w:pos="1620"/>
        </w:tabs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表3  团队表现扣分项目表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1786"/>
        <w:gridCol w:w="2100"/>
        <w:gridCol w:w="122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7" w:firstLineChars="7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7" w:firstLineChars="7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扣分项目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7" w:firstLineChars="7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分值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7" w:firstLineChars="7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非正常负债数值</w:t>
            </w:r>
          </w:p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（万元）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[0，50]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（50，100]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0.05分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（100，200]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0.10分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（200，+∞）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0.15分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5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借款剩余值</w:t>
            </w:r>
          </w:p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（万元）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[0，100]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（100，200]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0.05分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7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（200，300]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0.10分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8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（300，+∞）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0.15分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9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原材料紧急采购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0.2分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atLeast"/>
        </w:trPr>
        <w:tc>
          <w:tcPr>
            <w:tcW w:w="911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计划生产量与实际生产量不符</w:t>
            </w:r>
          </w:p>
          <w:p>
            <w:pPr>
              <w:tabs>
                <w:tab w:val="left" w:pos="1620"/>
              </w:tabs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（大于等于10个）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0.5分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firstLine="16" w:firstLineChars="7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按次扣分累加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tabs>
          <w:tab w:val="left" w:pos="720"/>
        </w:tabs>
        <w:spacing w:line="440" w:lineRule="exact"/>
        <w:jc w:val="left"/>
        <w:rPr>
          <w:rFonts w:hint="eastAsia" w:ascii="仿宋_GB2312" w:hAnsi="仿宋_GB2312" w:eastAsia="仿宋_GB2312" w:cs="仿宋_GB2312"/>
          <w:b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11"/>
          <w:sz w:val="28"/>
          <w:szCs w:val="28"/>
        </w:rPr>
        <w:t>经营绩效得分=盈利能力评分+偿债能力评分+发展潜力评分+团队表现评分</w:t>
      </w:r>
    </w:p>
    <w:p>
      <w:pPr>
        <w:tabs>
          <w:tab w:val="left" w:pos="1620"/>
        </w:tabs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注意：如果参赛团队出现破产情况，则经营绩效得分为0分。</w:t>
      </w: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b/>
          <w:szCs w:val="22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sz w:val="28"/>
          <w:szCs w:val="28"/>
        </w:rPr>
        <w:t>二、工程场景数字化赛项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本赛项重点围绕“两化融合”、</w:t>
      </w:r>
      <w:r>
        <w:rPr>
          <w:rFonts w:ascii="宋体" w:hAnsi="宋体" w:cs="宋体"/>
          <w:sz w:val="24"/>
        </w:rPr>
        <w:t>“数字工匠”、</w:t>
      </w:r>
      <w:r>
        <w:rPr>
          <w:rFonts w:hint="eastAsia" w:ascii="宋体" w:hAnsi="宋体" w:cs="宋体"/>
          <w:sz w:val="24"/>
        </w:rPr>
        <w:t>“通专融合”，落实新工科建设与跨学科综合能力培养。以“数字经济”下的工程素养与文化相融为发展宗旨，为高校大学生打造工程实践与创新型互动媒体交叉融合的创新平台，</w:t>
      </w:r>
      <w:r>
        <w:rPr>
          <w:rFonts w:ascii="宋体" w:hAnsi="宋体" w:cs="宋体"/>
          <w:sz w:val="24"/>
        </w:rPr>
        <w:t>展示</w:t>
      </w:r>
      <w:r>
        <w:rPr>
          <w:rFonts w:hint="eastAsia" w:ascii="宋体" w:hAnsi="宋体" w:cs="宋体"/>
          <w:sz w:val="24"/>
        </w:rPr>
        <w:t>数字媒体形态下的工程创新能力，</w:t>
      </w:r>
      <w:r>
        <w:rPr>
          <w:rFonts w:ascii="宋体" w:hAnsi="宋体" w:cs="宋体"/>
          <w:sz w:val="24"/>
        </w:rPr>
        <w:t>传播工程知识</w:t>
      </w:r>
      <w:r>
        <w:rPr>
          <w:rFonts w:hint="eastAsia" w:ascii="宋体" w:hAnsi="宋体" w:cs="宋体"/>
          <w:sz w:val="24"/>
        </w:rPr>
        <w:t>，普及</w:t>
      </w:r>
      <w:r>
        <w:rPr>
          <w:rFonts w:ascii="宋体" w:hAnsi="宋体" w:cs="宋体"/>
          <w:sz w:val="24"/>
        </w:rPr>
        <w:t>先进技术</w:t>
      </w:r>
      <w:r>
        <w:rPr>
          <w:rFonts w:hint="eastAsia" w:ascii="宋体" w:hAnsi="宋体" w:cs="宋体"/>
          <w:sz w:val="24"/>
        </w:rPr>
        <w:t>，促进人才发展。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本赛项重点考察学生</w:t>
      </w:r>
      <w:r>
        <w:rPr>
          <w:rFonts w:ascii="宋体" w:hAnsi="宋体" w:cs="宋体"/>
          <w:sz w:val="24"/>
        </w:rPr>
        <w:t>制作与工程相关</w:t>
      </w:r>
      <w:r>
        <w:rPr>
          <w:rFonts w:hint="eastAsia" w:ascii="宋体" w:hAnsi="宋体" w:cs="宋体"/>
          <w:sz w:val="24"/>
        </w:rPr>
        <w:t>数字媒体的工程实践能力，培养学生虚拟工程开发实践能力、</w:t>
      </w:r>
      <w:r>
        <w:rPr>
          <w:rFonts w:ascii="宋体" w:hAnsi="宋体" w:cs="宋体"/>
          <w:sz w:val="24"/>
        </w:rPr>
        <w:t>创意及其深度、美术设计等方面的能力</w:t>
      </w:r>
      <w:r>
        <w:rPr>
          <w:rFonts w:hint="eastAsia" w:ascii="宋体" w:hAnsi="宋体" w:cs="宋体"/>
          <w:sz w:val="24"/>
        </w:rPr>
        <w:t>。</w:t>
      </w:r>
    </w:p>
    <w:p>
      <w:pPr>
        <w:pStyle w:val="7"/>
        <w:spacing w:line="300" w:lineRule="auto"/>
        <w:ind w:firstLine="0" w:firstLineChars="0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1、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对参赛作品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/内容的要求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</w:t>
      </w:r>
      <w:r>
        <w:rPr>
          <w:rFonts w:ascii="宋体" w:hAnsi="宋体" w:cs="宋体"/>
          <w:sz w:val="24"/>
        </w:rPr>
        <w:t>工程</w:t>
      </w:r>
      <w:r>
        <w:rPr>
          <w:rFonts w:hint="eastAsia" w:ascii="宋体" w:hAnsi="宋体" w:cs="宋体"/>
          <w:sz w:val="24"/>
        </w:rPr>
        <w:t>类为主题，自主设计并开发围绕工程方面的游戏，游戏类型不限。鼓励开发具有独创性、新颖性、合理开脑洞的跨领域、跨学科题材。</w:t>
      </w:r>
    </w:p>
    <w:p>
      <w:pPr>
        <w:spacing w:before="156" w:beforeLines="50" w:after="156" w:afterLines="50"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1.1功能要求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游戏作品可用休闲游戏、角色扮演等游戏形式，采用</w:t>
      </w:r>
      <w:r>
        <w:rPr>
          <w:rFonts w:ascii="宋体" w:hAnsi="宋体" w:cs="宋体"/>
          <w:sz w:val="24"/>
        </w:rPr>
        <w:t>Demo</w:t>
      </w:r>
      <w:r>
        <w:rPr>
          <w:rFonts w:hint="eastAsia" w:ascii="宋体" w:hAnsi="宋体" w:cs="宋体"/>
          <w:sz w:val="24"/>
        </w:rPr>
        <w:t>、幻灯片、</w:t>
      </w:r>
      <w:r>
        <w:rPr>
          <w:rFonts w:ascii="宋体" w:hAnsi="宋体" w:cs="宋体"/>
          <w:sz w:val="24"/>
        </w:rPr>
        <w:t>视频</w:t>
      </w:r>
      <w:r>
        <w:rPr>
          <w:rFonts w:hint="eastAsia" w:ascii="宋体" w:hAnsi="宋体" w:cs="宋体"/>
          <w:sz w:val="24"/>
        </w:rPr>
        <w:t>等方式展示，该作品可在不限于</w:t>
      </w:r>
      <w:r>
        <w:rPr>
          <w:rFonts w:ascii="宋体" w:hAnsi="宋体" w:cs="宋体"/>
          <w:sz w:val="24"/>
        </w:rPr>
        <w:t>Windows、Mac OS等主机端，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iOS、Android等移动端的</w:t>
      </w:r>
      <w:r>
        <w:rPr>
          <w:rFonts w:hint="eastAsia" w:ascii="宋体" w:hAnsi="宋体" w:cs="宋体"/>
          <w:sz w:val="24"/>
        </w:rPr>
        <w:t>任何一个或多个平台上运行。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游戏作品</w:t>
      </w:r>
      <w:r>
        <w:rPr>
          <w:rFonts w:hint="eastAsia" w:ascii="宋体" w:hAnsi="宋体"/>
          <w:bCs/>
          <w:color w:val="000000"/>
          <w:sz w:val="24"/>
        </w:rPr>
        <w:t>的</w:t>
      </w:r>
      <w:r>
        <w:rPr>
          <w:sz w:val="24"/>
        </w:rPr>
        <w:t>设计及制作均由参赛学生自主完成。</w:t>
      </w:r>
    </w:p>
    <w:p>
      <w:pPr>
        <w:spacing w:before="156" w:beforeLines="50" w:after="156" w:afterLines="50"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1.2内容要求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其游戏作品可以体现以下工程知识方面的类目：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知识科普：工业史、智能制造、机器人、</w:t>
      </w:r>
      <w:r>
        <w:rPr>
          <w:rFonts w:ascii="宋体" w:hAnsi="宋体" w:cs="宋体"/>
          <w:sz w:val="24"/>
          <w:szCs w:val="24"/>
        </w:rPr>
        <w:t>5G、物联网等工程技术科普类；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模拟</w:t>
      </w:r>
      <w:r>
        <w:rPr>
          <w:rFonts w:hint="eastAsia" w:ascii="宋体" w:hAnsi="宋体" w:cs="宋体"/>
          <w:sz w:val="24"/>
          <w:szCs w:val="24"/>
        </w:rPr>
        <w:t>经营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模拟建造、模拟物流、模拟工厂、模拟车间</w:t>
      </w:r>
      <w:r>
        <w:rPr>
          <w:rFonts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</w:rPr>
        <w:t>资源经营类；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技能操作：加工模拟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操作模拟、装配模拟</w:t>
      </w:r>
      <w:r>
        <w:rPr>
          <w:rFonts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社会公益：环境保护</w:t>
      </w:r>
      <w:r>
        <w:rPr>
          <w:rFonts w:hint="eastAsia" w:ascii="宋体" w:hAnsi="宋体" w:cs="宋体"/>
          <w:sz w:val="24"/>
          <w:szCs w:val="24"/>
        </w:rPr>
        <w:t>、生态建设、</w:t>
      </w:r>
      <w:r>
        <w:rPr>
          <w:rFonts w:ascii="宋体" w:hAnsi="宋体" w:cs="宋体"/>
          <w:sz w:val="24"/>
          <w:szCs w:val="24"/>
        </w:rPr>
        <w:t>关怀弱势群体等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7"/>
        <w:spacing w:line="300" w:lineRule="auto"/>
        <w:ind w:firstLine="0" w:firstLineChars="0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2、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对运行环境的要求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2.1现场运行场地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在会议室进行演讲、演示和试用参赛作品</w:t>
      </w:r>
      <w:r>
        <w:rPr>
          <w:rFonts w:ascii="宋体" w:hAnsi="宋体" w:cs="宋体"/>
          <w:sz w:val="24"/>
        </w:rPr>
        <w:t>Demo等。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2.2提供的设备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会议室将提供</w:t>
      </w:r>
      <w:r>
        <w:rPr>
          <w:rFonts w:ascii="宋体" w:hAnsi="宋体" w:cs="宋体"/>
          <w:sz w:val="24"/>
        </w:rPr>
        <w:t>220V交流电，</w:t>
      </w:r>
      <w:r>
        <w:rPr>
          <w:rFonts w:hint="eastAsia" w:ascii="宋体" w:hAnsi="宋体" w:cs="宋体"/>
          <w:sz w:val="24"/>
        </w:rPr>
        <w:t>以及大屏幕；竞赛所需的笔记本电脑、平板电脑、体验设备、手机、其他智能设备及相关软件等由各参赛队自备。</w:t>
      </w:r>
    </w:p>
    <w:p>
      <w:pPr>
        <w:pStyle w:val="7"/>
        <w:spacing w:line="300" w:lineRule="auto"/>
        <w:ind w:firstLine="0" w:firstLineChars="0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3、赛程安排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工程场景数字化赛项</w:t>
      </w:r>
      <w:r>
        <w:rPr>
          <w:rFonts w:hint="eastAsia" w:ascii="宋体" w:hAnsi="宋体"/>
          <w:sz w:val="24"/>
        </w:rPr>
        <w:t>由作品演讲和提问解答两个环节组成，</w:t>
      </w:r>
      <w:r>
        <w:rPr>
          <w:rFonts w:hint="eastAsia" w:ascii="宋体" w:hAnsi="宋体" w:cs="宋体"/>
          <w:sz w:val="24"/>
        </w:rPr>
        <w:t>重点考察参赛作品的设计构思、工程内涵梳理、游戏架构设计、开发过程合理性等综合能力</w:t>
      </w:r>
    </w:p>
    <w:p>
      <w:pPr>
        <w:pStyle w:val="7"/>
        <w:spacing w:line="300" w:lineRule="auto"/>
        <w:ind w:firstLine="0" w:firstLineChars="0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4、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具体要求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各</w:t>
      </w:r>
      <w:r>
        <w:rPr>
          <w:rFonts w:ascii="宋体" w:hAnsi="宋体" w:cs="宋体"/>
          <w:sz w:val="24"/>
        </w:rPr>
        <w:t>参赛队抽签确定答辩顺序</w:t>
      </w:r>
      <w:r>
        <w:rPr>
          <w:rFonts w:hint="eastAsia" w:ascii="宋体" w:hAnsi="宋体" w:cs="宋体"/>
          <w:sz w:val="24"/>
        </w:rPr>
        <w:t>。在规定时间内各</w:t>
      </w:r>
      <w:r>
        <w:rPr>
          <w:rFonts w:ascii="宋体" w:hAnsi="宋体" w:cs="宋体"/>
          <w:sz w:val="24"/>
        </w:rPr>
        <w:t>参赛队</w:t>
      </w:r>
      <w:r>
        <w:rPr>
          <w:rFonts w:hint="eastAsia" w:ascii="宋体" w:hAnsi="宋体" w:cs="宋体"/>
          <w:sz w:val="24"/>
        </w:rPr>
        <w:t>汇报并展示游戏作品，主要包括作品介绍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回答专家的提问。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重点考察参赛作品的设计构思、工程内涵梳理、游戏架构设计、开发过程合理性等综合能力，主要从演讲和提问解答两方面评价。 </w:t>
      </w:r>
      <w:r>
        <w:rPr>
          <w:rFonts w:ascii="宋体" w:hAnsi="宋体" w:cs="宋体"/>
          <w:sz w:val="24"/>
        </w:rPr>
        <w:t xml:space="preserve"> 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4.1</w:t>
      </w:r>
      <w:r>
        <w:rPr>
          <w:rFonts w:hint="eastAsia" w:ascii="宋体" w:hAnsi="宋体"/>
          <w:b/>
          <w:sz w:val="24"/>
        </w:rPr>
        <w:t>作品演讲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现场表达具备逻辑性，演讲逻辑易于理解；作品的视频需包含游戏概念来源、完整情节及世界观；PPT全面介绍作品内容，内容完整；时间观念强，答辩不超时。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4.2</w:t>
      </w:r>
      <w:r>
        <w:rPr>
          <w:rFonts w:hint="eastAsia" w:ascii="宋体" w:hAnsi="宋体"/>
          <w:b/>
          <w:sz w:val="24"/>
        </w:rPr>
        <w:t>提问解答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全面回答所提问题；精准回答提问；回答问题具备逻辑性，易于理解。</w:t>
      </w:r>
    </w:p>
    <w:p>
      <w:pPr>
        <w:pStyle w:val="7"/>
        <w:spacing w:line="300" w:lineRule="auto"/>
        <w:ind w:firstLine="0" w:firstLineChars="0"/>
        <w:rPr>
          <w:rFonts w:hint="eastAsia" w:ascii="微软雅黑" w:hAnsi="微软雅黑" w:eastAsia="微软雅黑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、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成绩评定</w:t>
      </w:r>
    </w:p>
    <w:p>
      <w:pPr>
        <w:tabs>
          <w:tab w:val="left" w:pos="1620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以表格中四个部分的</w:t>
      </w:r>
      <w:r>
        <w:rPr>
          <w:rFonts w:hint="eastAsia" w:ascii="宋体" w:hAnsi="宋体" w:cs="宋体"/>
          <w:sz w:val="24"/>
        </w:rPr>
        <w:t>总成绩分别对各参赛队进行排名。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中国矿业大学工程训练综合能力竞赛（2020-2021）</w:t>
      </w:r>
    </w:p>
    <w:p>
      <w:pPr>
        <w:spacing w:line="540" w:lineRule="exact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工程场景数字化赛项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成绩记录表</w:t>
      </w: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81"/>
        <w:gridCol w:w="187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队名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设计构思、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游戏架构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清晰表达核心玩法和创意，游戏主旨清晰，玩法新颖，场景构建完整，细节打磨情况好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工程内涵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较为完整涵盖某一领域，逻辑正确，工程知识与游戏形式匹配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开发过程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开发过程合理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提问解答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精准回答提问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回答问题具备逻辑性，易于理解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54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记录员：                       裁判员签字：                       参赛队签字：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124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D6C"/>
    <w:multiLevelType w:val="multilevel"/>
    <w:tmpl w:val="0B752D6C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548" w:hanging="360"/>
      </w:pPr>
    </w:lvl>
    <w:lvl w:ilvl="2" w:tentative="0">
      <w:start w:val="1"/>
      <w:numFmt w:val="lowerRoman"/>
      <w:lvlText w:val="%3."/>
      <w:lvlJc w:val="right"/>
      <w:pPr>
        <w:ind w:left="2268" w:hanging="180"/>
      </w:pPr>
    </w:lvl>
    <w:lvl w:ilvl="3" w:tentative="0">
      <w:start w:val="1"/>
      <w:numFmt w:val="decimal"/>
      <w:lvlText w:val="%4."/>
      <w:lvlJc w:val="left"/>
      <w:pPr>
        <w:ind w:left="2988" w:hanging="360"/>
      </w:pPr>
    </w:lvl>
    <w:lvl w:ilvl="4" w:tentative="0">
      <w:start w:val="1"/>
      <w:numFmt w:val="lowerLetter"/>
      <w:lvlText w:val="%5."/>
      <w:lvlJc w:val="left"/>
      <w:pPr>
        <w:ind w:left="3708" w:hanging="360"/>
      </w:pPr>
    </w:lvl>
    <w:lvl w:ilvl="5" w:tentative="0">
      <w:start w:val="1"/>
      <w:numFmt w:val="lowerRoman"/>
      <w:lvlText w:val="%6."/>
      <w:lvlJc w:val="right"/>
      <w:pPr>
        <w:ind w:left="4428" w:hanging="180"/>
      </w:pPr>
    </w:lvl>
    <w:lvl w:ilvl="6" w:tentative="0">
      <w:start w:val="1"/>
      <w:numFmt w:val="decimal"/>
      <w:lvlText w:val="%7."/>
      <w:lvlJc w:val="left"/>
      <w:pPr>
        <w:ind w:left="5148" w:hanging="360"/>
      </w:pPr>
    </w:lvl>
    <w:lvl w:ilvl="7" w:tentative="0">
      <w:start w:val="1"/>
      <w:numFmt w:val="lowerLetter"/>
      <w:lvlText w:val="%8."/>
      <w:lvlJc w:val="left"/>
      <w:pPr>
        <w:ind w:left="5868" w:hanging="360"/>
      </w:pPr>
    </w:lvl>
    <w:lvl w:ilvl="8" w:tentative="0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72CE"/>
    <w:rsid w:val="777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200" w:line="276" w:lineRule="auto"/>
      <w:ind w:firstLine="420" w:firstLineChars="200"/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2021-01-21T13:34:00Z</dcterms:created>
  <dc:creator>82478</dc:creator>
  <cp:lastModifiedBy>82478</cp:lastModifiedBy>
  <dcterms:modified xsi:type="dcterms:W3CDTF">2021-01-21T13:34:15Z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